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26-62</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RIGHTS DEPARTMENT[421]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421—Chapters 1, 20 through 23, and 25</w:t>
      </w:r>
    </w:p>
    <w:p>
      <w:pPr>
        <w:spacing w:before="0" w:after="0" w:line="480"/>
        <w:ind w:left="120"/>
        <w:jc w:val="center"/>
      </w:pPr>
      <w:r>
        <w:rPr>
          <w:rFonts w:ascii="Times New Roman" w:hAnsi="Times New Roman"/>
          <w:b w:val="false"/>
          <w:i w:val="false"/>
          <w:color w:val="000000"/>
          <w:sz w:val="24"/>
        </w:rPr>
        <w:t>“Human Rights Chapter Rescissions”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216A and 541A</w:t>
      </w:r>
    </w:p>
    <w:p>
      <w:pPr>
        <w:spacing w:before="0" w:after="0" w:line="480"/>
        <w:ind w:left="120"/>
        <w:jc w:val="both"/>
      </w:pPr>
      <w:r>
        <w:rPr>
          <w:rFonts w:ascii="Times New Roman" w:hAnsi="Times New Roman"/>
          <w:b w:val="false"/>
          <w:i w:val="false"/>
          <w:color w:val="000000"/>
          <w:sz w:val="24"/>
        </w:rPr>
        <w:t>State or federal law(s) implemented by the rulemaking: Executive Order 10 and 2023 Iowa Acts, Senate File 514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292 485 993 110 827</w:t>
            </w:r>
            <w:r>
              <w:br/>
            </w:r>
            <w:r>
              <w:rPr>
                <w:rFonts w:ascii="Times New Roman" w:hAnsi="Times New Roman"/>
                <w:b w:val="false"/>
                <w:i w:val="false"/>
                <w:color w:val="000000"/>
                <w:sz w:val="21"/>
              </w:rPr>
              <w:t>Passcode: SZ3ZF7WH</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243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chapters in legacy agency [421] are due for a Red Tape Review in 2026. As part of that review and under the government realignment authorized by 2023 Iowa Acts, Senate File 514, these chapters are proposed to be rescinded. Some of the chapters are proposed to be repromulgated under agency [441] herein (IAB 5/13/26).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No one will benefit from this proposed rulemaking, but neither will anyone be harmed.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Six administrative rule chapters will be rescinded from agency [421]. Four of those will be repromulgated under agency [441].</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qualitative impact; existing rule content will be repromulgated in separate rulemakings.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25</w:t>
      </w:r>
      <w:r>
        <w:rPr>
          <w:rFonts w:ascii="Times New Roman" w:hAnsi="Times New Roman"/>
          <w:b w:val="false"/>
          <w:i w:val="false"/>
          <w:color w:val="000000"/>
          <w:sz w:val="24"/>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